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3"/>
        <w:gridCol w:w="4589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DD0E0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D0E0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DD0E0D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0E0D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5DB41E17" w:rsidR="00F305BB" w:rsidRPr="00DD0E0D" w:rsidRDefault="00DD0E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D0E0D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0F0D12CB" w:rsidR="00F305BB" w:rsidRPr="00DD0E0D" w:rsidRDefault="00DD0E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D0E0D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23AED7B8" w:rsidR="00F305BB" w:rsidRPr="00DD0E0D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D0E0D">
              <w:rPr>
                <w:rFonts w:ascii="Times New Roman" w:hAnsi="Times New Roman"/>
              </w:rPr>
              <w:t>31201</w:t>
            </w:r>
            <w:r w:rsidR="00F416E6">
              <w:rPr>
                <w:rFonts w:ascii="Times New Roman" w:hAnsi="Times New Roman"/>
              </w:rPr>
              <w:t>1</w:t>
            </w:r>
            <w:r w:rsidRPr="00DD0E0D">
              <w:rPr>
                <w:rFonts w:ascii="Times New Roman" w:hAnsi="Times New Roman"/>
              </w:rPr>
              <w:t>A</w:t>
            </w:r>
            <w:r w:rsidR="00DD0E0D" w:rsidRPr="00DD0E0D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2E060119" w:rsidR="00F305BB" w:rsidRPr="00DD0E0D" w:rsidRDefault="00DD0E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D0E0D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7C88E3C9" w:rsidR="00F305BB" w:rsidRPr="007B6C7D" w:rsidRDefault="008E1C53" w:rsidP="007B6C7D">
            <w:pPr>
              <w:tabs>
                <w:tab w:val="left" w:pos="4007"/>
              </w:tabs>
              <w:spacing w:after="0" w:line="240" w:lineRule="auto"/>
            </w:pPr>
            <w:r>
              <w:t>6.4.2022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12A1CEF2" w:rsidR="00F305BB" w:rsidRPr="007B6C7D" w:rsidRDefault="008E1C53" w:rsidP="007B6C7D">
            <w:pPr>
              <w:tabs>
                <w:tab w:val="left" w:pos="4007"/>
              </w:tabs>
              <w:spacing w:after="0" w:line="240" w:lineRule="auto"/>
            </w:pPr>
            <w:r>
              <w:t>SSOŠ Elba,Smetanova 2,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0914E27A" w:rsidR="00F305BB" w:rsidRPr="007B6C7D" w:rsidRDefault="008E1C53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F1F9196" w14:textId="77777777" w:rsidR="008E1C53" w:rsidRDefault="008E1C53" w:rsidP="008E1C5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92119E8" w14:textId="77777777" w:rsidR="008E1C53" w:rsidRDefault="008E1C53" w:rsidP="008E1C53">
            <w:pPr>
              <w:widowControl w:val="0"/>
              <w:spacing w:after="0" w:line="240" w:lineRule="auto"/>
            </w:pPr>
            <w:r w:rsidRPr="008557B4">
              <w:rPr>
                <w:rFonts w:cs="Calibri"/>
              </w:rPr>
              <w:t>https://ssoselba.edupage.org/a/pedagogicky-klub-c-3</w:t>
            </w: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3401C75F" w:rsidR="00EE1416" w:rsidRDefault="00DD0E0D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bolo pojmotvorné ukotvenie témy projektová vyučovacia metóda a jej vplyv na rozvoj predmetných gramotností žiaka. V rámci stretnutia sme analyzovali odbornú literatúru, diskutovali o relevantných pojmoch a na záver stretnutia sme tvorili pedagogické odporúčanie.</w:t>
            </w:r>
          </w:p>
          <w:p w14:paraId="36E7D428" w14:textId="77777777" w:rsidR="00DD0E0D" w:rsidRDefault="00DD0E0D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36B604F5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DD0E0D">
              <w:rPr>
                <w:rFonts w:ascii="Times New Roman" w:hAnsi="Times New Roman"/>
              </w:rPr>
              <w:t>projektové vyučovanie, rozvoj finančnej a matematickej gramotnosti.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77EFB3BB" w:rsidR="00405AE8" w:rsidRDefault="00DD0E0D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Skupinová analýza odborných zdrojov.</w:t>
            </w:r>
          </w:p>
          <w:p w14:paraId="41CF13BB" w14:textId="59F32393" w:rsidR="00DD0E0D" w:rsidRDefault="00DD0E0D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5FA8B23D" w14:textId="5C85DB08" w:rsidR="00DD0E0D" w:rsidRDefault="00DD0E0D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Tvorivé písanie.</w:t>
            </w:r>
          </w:p>
          <w:p w14:paraId="1630B84C" w14:textId="213A68C0" w:rsidR="00DD0E0D" w:rsidRDefault="00DD0E0D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09A896F7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DD0E0D">
              <w:rPr>
                <w:rFonts w:ascii="Times New Roman" w:hAnsi="Times New Roman"/>
              </w:rPr>
              <w:t>rozvoj finančnej gramotnosti, vzdelávanie 4.0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2F3EF572" w14:textId="77777777" w:rsidR="00F305BB" w:rsidRDefault="00DD0E0D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odborných zdrojov – skladanie textu.</w:t>
            </w:r>
          </w:p>
          <w:p w14:paraId="73E441D4" w14:textId="77777777" w:rsidR="00DD0E0D" w:rsidRDefault="00BA5B57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– vzájomné učenie sa.</w:t>
            </w:r>
          </w:p>
          <w:p w14:paraId="4D5F892A" w14:textId="77777777" w:rsidR="00BA5B57" w:rsidRDefault="00BA5B57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Tvorivé písanie – metóda Tu a teraz.</w:t>
            </w:r>
          </w:p>
          <w:p w14:paraId="46ED2987" w14:textId="16ABB87D" w:rsidR="00BA5B57" w:rsidRPr="00405AE8" w:rsidRDefault="00BA5B57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B50B4C">
        <w:trPr>
          <w:trHeight w:val="8496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CDC9DF3" w14:textId="36A45B21" w:rsidR="00156872" w:rsidRDefault="00156872" w:rsidP="00BA5B5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5A48D189" w14:textId="2DC64F7E" w:rsidR="00156872" w:rsidRPr="00F416E6" w:rsidRDefault="00156872" w:rsidP="00BA5B5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416E6">
              <w:rPr>
                <w:rFonts w:ascii="Times New Roman" w:hAnsi="Times New Roman"/>
              </w:rPr>
              <w:t>V rámci stretnutia sme vytvorili nasledovné pojmotvorné zhrnutie na tému projektového vyučovania pri rozvoji finančnej gramotnosti:</w:t>
            </w:r>
          </w:p>
          <w:p w14:paraId="5EADE374" w14:textId="77777777" w:rsidR="00156872" w:rsidRPr="00156872" w:rsidRDefault="00156872" w:rsidP="00BA5B5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02C7FB72" w14:textId="4C54855C" w:rsidR="00BA5B57" w:rsidRPr="00F416E6" w:rsidRDefault="00F416E6" w:rsidP="00BA5B5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Zhodli sme sa na týchto e</w:t>
            </w:r>
            <w:r w:rsidR="00BA5B57" w:rsidRPr="00F416E6">
              <w:rPr>
                <w:rFonts w:ascii="Times New Roman" w:hAnsi="Times New Roman"/>
              </w:rPr>
              <w:t>dukačn</w:t>
            </w:r>
            <w:r>
              <w:rPr>
                <w:rFonts w:ascii="Times New Roman" w:hAnsi="Times New Roman"/>
              </w:rPr>
              <w:t>ých</w:t>
            </w:r>
            <w:r w:rsidR="00BA5B57" w:rsidRPr="00F416E6">
              <w:rPr>
                <w:rFonts w:ascii="Times New Roman" w:hAnsi="Times New Roman"/>
              </w:rPr>
              <w:t xml:space="preserve"> a formatívn</w:t>
            </w:r>
            <w:r>
              <w:rPr>
                <w:rFonts w:ascii="Times New Roman" w:hAnsi="Times New Roman"/>
              </w:rPr>
              <w:t>ych</w:t>
            </w:r>
            <w:r w:rsidR="00BA5B57" w:rsidRPr="00F416E6">
              <w:rPr>
                <w:rFonts w:ascii="Times New Roman" w:hAnsi="Times New Roman"/>
              </w:rPr>
              <w:t xml:space="preserve"> </w:t>
            </w:r>
            <w:r w:rsidR="00156872" w:rsidRPr="00F416E6">
              <w:rPr>
                <w:rFonts w:ascii="Times New Roman" w:hAnsi="Times New Roman"/>
              </w:rPr>
              <w:t>cie</w:t>
            </w:r>
            <w:r>
              <w:rPr>
                <w:rFonts w:ascii="Times New Roman" w:hAnsi="Times New Roman"/>
              </w:rPr>
              <w:t>ľoch</w:t>
            </w:r>
            <w:r w:rsidR="00156872" w:rsidRPr="00F416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projektívnej </w:t>
            </w:r>
            <w:r w:rsidR="00156872" w:rsidRPr="00F416E6">
              <w:rPr>
                <w:rFonts w:ascii="Times New Roman" w:hAnsi="Times New Roman"/>
              </w:rPr>
              <w:t>metódy</w:t>
            </w:r>
            <w:r>
              <w:rPr>
                <w:rFonts w:ascii="Times New Roman" w:hAnsi="Times New Roman"/>
              </w:rPr>
              <w:t>, ktoré</w:t>
            </w:r>
            <w:r w:rsidR="00BA5B57" w:rsidRPr="00F416E6">
              <w:rPr>
                <w:rFonts w:ascii="Times New Roman" w:hAnsi="Times New Roman"/>
              </w:rPr>
              <w:t xml:space="preserve"> spočívajú predovšetkým v rozvíjaní schopností a návykov:</w:t>
            </w:r>
          </w:p>
          <w:p w14:paraId="4D05E48F" w14:textId="77777777" w:rsidR="00BA5B57" w:rsidRPr="00BA5B57" w:rsidRDefault="00BA5B57" w:rsidP="00BA5B57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A5B57">
              <w:rPr>
                <w:rFonts w:ascii="Times New Roman" w:hAnsi="Times New Roman"/>
                <w:bCs/>
              </w:rPr>
              <w:t>samostatne a tvorivo pracovať</w:t>
            </w:r>
          </w:p>
          <w:p w14:paraId="761E18DE" w14:textId="77777777" w:rsidR="00BA5B57" w:rsidRPr="00BA5B57" w:rsidRDefault="00BA5B57" w:rsidP="00BA5B57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A5B57">
              <w:rPr>
                <w:rFonts w:ascii="Times New Roman" w:hAnsi="Times New Roman"/>
                <w:bCs/>
              </w:rPr>
              <w:t>plánovať vlastnú prácu a dokončiť ju</w:t>
            </w:r>
          </w:p>
          <w:p w14:paraId="7BACE219" w14:textId="77777777" w:rsidR="00BA5B57" w:rsidRPr="00BA5B57" w:rsidRDefault="00BA5B57" w:rsidP="00BA5B57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A5B57">
              <w:rPr>
                <w:rFonts w:ascii="Times New Roman" w:hAnsi="Times New Roman"/>
                <w:bCs/>
              </w:rPr>
              <w:t>niesť zodpovednosť za svoju prácu a prekonávať prekážky</w:t>
            </w:r>
          </w:p>
          <w:p w14:paraId="326AD730" w14:textId="77777777" w:rsidR="00BA5B57" w:rsidRPr="00BA5B57" w:rsidRDefault="00BA5B57" w:rsidP="00BA5B57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A5B57">
              <w:rPr>
                <w:rFonts w:ascii="Times New Roman" w:hAnsi="Times New Roman"/>
                <w:bCs/>
              </w:rPr>
              <w:t>pracovať s informáciami (knihy, encyklopédie, internet, a pod.)</w:t>
            </w:r>
          </w:p>
          <w:p w14:paraId="47CE1AE3" w14:textId="77777777" w:rsidR="00BA5B57" w:rsidRPr="00BA5B57" w:rsidRDefault="00BA5B57" w:rsidP="00BA5B57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A5B57">
              <w:rPr>
                <w:rFonts w:ascii="Times New Roman" w:hAnsi="Times New Roman"/>
                <w:bCs/>
              </w:rPr>
              <w:t>prezentovať svoju vlastnú prácu , vystupovať, s právne sa vyjadrovať</w:t>
            </w:r>
          </w:p>
          <w:p w14:paraId="48EA571F" w14:textId="77777777" w:rsidR="00BA5B57" w:rsidRPr="00BA5B57" w:rsidRDefault="00BA5B57" w:rsidP="00BA5B57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A5B57">
              <w:rPr>
                <w:rFonts w:ascii="Times New Roman" w:hAnsi="Times New Roman"/>
                <w:bCs/>
              </w:rPr>
              <w:t>argumentovať</w:t>
            </w:r>
          </w:p>
          <w:p w14:paraId="611D263D" w14:textId="77777777" w:rsidR="00BA5B57" w:rsidRPr="00BA5B57" w:rsidRDefault="00BA5B57" w:rsidP="00BA5B57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A5B57">
              <w:rPr>
                <w:rFonts w:ascii="Times New Roman" w:hAnsi="Times New Roman"/>
                <w:bCs/>
              </w:rPr>
              <w:t>spolupracovať, komunikovať, tolerovať a prijímať iné názory </w:t>
            </w:r>
          </w:p>
          <w:p w14:paraId="3650D42B" w14:textId="0A4149BE" w:rsidR="00BA5B57" w:rsidRDefault="00BA5B57" w:rsidP="00BA5B57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A5B57">
              <w:rPr>
                <w:rFonts w:ascii="Times New Roman" w:hAnsi="Times New Roman"/>
                <w:bCs/>
              </w:rPr>
              <w:t>hodnotiť svoju prácu a prácu svojich kolegov</w:t>
            </w:r>
          </w:p>
          <w:p w14:paraId="05B6C2D0" w14:textId="41816CAC" w:rsidR="00156872" w:rsidRPr="00F416E6" w:rsidRDefault="00F416E6" w:rsidP="00F416E6">
            <w:pPr>
              <w:tabs>
                <w:tab w:val="left" w:pos="1114"/>
              </w:tabs>
              <w:spacing w:after="0" w:line="360" w:lineRule="auto"/>
              <w:ind w:left="72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princípy:</w:t>
            </w:r>
          </w:p>
          <w:p w14:paraId="49DBCEF5" w14:textId="0A6519ED" w:rsidR="00BA5B57" w:rsidRPr="00BA5B57" w:rsidRDefault="00BA5B57" w:rsidP="00BA5B57">
            <w:pPr>
              <w:numPr>
                <w:ilvl w:val="1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A5B57">
              <w:rPr>
                <w:rFonts w:ascii="Times New Roman" w:hAnsi="Times New Roman"/>
                <w:bCs/>
              </w:rPr>
              <w:t xml:space="preserve">Zreteľ na potreby a záujmy </w:t>
            </w:r>
            <w:r w:rsidR="00156872">
              <w:rPr>
                <w:rFonts w:ascii="Times New Roman" w:hAnsi="Times New Roman"/>
                <w:bCs/>
              </w:rPr>
              <w:t>žiakov</w:t>
            </w:r>
            <w:r w:rsidRPr="00BA5B57">
              <w:rPr>
                <w:rFonts w:ascii="Times New Roman" w:hAnsi="Times New Roman"/>
                <w:bCs/>
              </w:rPr>
              <w:t>– výber témy má vhodne prispieť k sebarealizácii žiaka, umožniť mu získať nové skúsenosti a pohľady na vyučovací predmet. Zreteľ na aktuálnu situáciu – spájať školu so životom.</w:t>
            </w:r>
          </w:p>
          <w:p w14:paraId="109F5DB4" w14:textId="77777777" w:rsidR="00BA5B57" w:rsidRPr="00BA5B57" w:rsidRDefault="00BA5B57" w:rsidP="00BA5B57">
            <w:pPr>
              <w:numPr>
                <w:ilvl w:val="1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A5B57">
              <w:rPr>
                <w:rFonts w:ascii="Times New Roman" w:hAnsi="Times New Roman"/>
                <w:bCs/>
              </w:rPr>
              <w:t>Interisciplinarita – prekračovať rámec jednotlivých vyučovacích predmetov.</w:t>
            </w:r>
          </w:p>
          <w:p w14:paraId="4CDA8DEB" w14:textId="77777777" w:rsidR="00BA5B57" w:rsidRPr="00BA5B57" w:rsidRDefault="00BA5B57" w:rsidP="00BA5B57">
            <w:pPr>
              <w:numPr>
                <w:ilvl w:val="1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A5B57">
              <w:rPr>
                <w:rFonts w:ascii="Times New Roman" w:hAnsi="Times New Roman"/>
                <w:bCs/>
              </w:rPr>
              <w:t>Sebaregulácia pri učení – žiaci si plánujú, realizujú a hodnotia svoje projekty, učia sa učiť.</w:t>
            </w:r>
          </w:p>
          <w:p w14:paraId="77834DCE" w14:textId="77777777" w:rsidR="00BA5B57" w:rsidRPr="00BA5B57" w:rsidRDefault="00BA5B57" w:rsidP="00BA5B57">
            <w:pPr>
              <w:numPr>
                <w:ilvl w:val="1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A5B57">
              <w:rPr>
                <w:rFonts w:ascii="Times New Roman" w:hAnsi="Times New Roman"/>
                <w:bCs/>
              </w:rPr>
              <w:t>Orientácia na produkt – produkt prináša zmysluplnosť učenia, celej práce, čím motivuje žiakov, žiaci prezentujú svoj produkt pred triedou.</w:t>
            </w:r>
          </w:p>
          <w:p w14:paraId="034CC516" w14:textId="77777777" w:rsidR="00BA5B57" w:rsidRPr="00BA5B57" w:rsidRDefault="00BA5B57" w:rsidP="00BA5B57">
            <w:pPr>
              <w:numPr>
                <w:ilvl w:val="1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A5B57">
              <w:rPr>
                <w:rFonts w:ascii="Times New Roman" w:hAnsi="Times New Roman"/>
                <w:bCs/>
              </w:rPr>
              <w:t>Skupinová realizácia – pri práci v tímoch sa žiaci učia spolupracovať, komunikovať, ale učia sa aj tolerancii a riešeniu konfliktov. </w:t>
            </w:r>
          </w:p>
          <w:p w14:paraId="28A8CF7D" w14:textId="3B0F3161" w:rsidR="009A055C" w:rsidRDefault="009A055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5A56EAC" w14:textId="77777777" w:rsidR="00156872" w:rsidRPr="00156872" w:rsidRDefault="00156872" w:rsidP="0015687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56872">
              <w:rPr>
                <w:rFonts w:ascii="Times New Roman" w:hAnsi="Times New Roman"/>
                <w:b/>
                <w:bCs/>
              </w:rPr>
              <w:t>Metodika projektového vyučovania</w:t>
            </w:r>
          </w:p>
          <w:p w14:paraId="46939DAB" w14:textId="77777777" w:rsidR="00156872" w:rsidRPr="00156872" w:rsidRDefault="00156872" w:rsidP="0015687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56872">
              <w:rPr>
                <w:rFonts w:ascii="Times New Roman" w:hAnsi="Times New Roman"/>
                <w:b/>
                <w:bCs/>
              </w:rPr>
              <w:t>Projekt má štyri základné kroky:</w:t>
            </w:r>
          </w:p>
          <w:p w14:paraId="28147327" w14:textId="77777777" w:rsidR="00156872" w:rsidRPr="00156872" w:rsidRDefault="00156872" w:rsidP="00156872">
            <w:pPr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56872">
              <w:rPr>
                <w:rFonts w:ascii="Times New Roman" w:hAnsi="Times New Roman"/>
                <w:b/>
                <w:bCs/>
              </w:rPr>
              <w:lastRenderedPageBreak/>
              <w:t>Zámer</w:t>
            </w:r>
            <w:r w:rsidRPr="00156872">
              <w:rPr>
                <w:rFonts w:ascii="Times New Roman" w:hAnsi="Times New Roman"/>
                <w:bCs/>
              </w:rPr>
              <w:t> – sem patrí samotný podnet a jeho spracovanie (nálada, náhoda, záujem, motivácia detí, znalosť detí, pohľad na učivo) a formulácia východiska, jadra problému, tj. o čo vlastne pôjde.</w:t>
            </w:r>
          </w:p>
          <w:p w14:paraId="33926454" w14:textId="77777777" w:rsidR="00156872" w:rsidRPr="00156872" w:rsidRDefault="00156872" w:rsidP="00156872">
            <w:pPr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56872">
              <w:rPr>
                <w:rFonts w:ascii="Times New Roman" w:hAnsi="Times New Roman"/>
                <w:b/>
                <w:bCs/>
              </w:rPr>
              <w:t>Plánovanie</w:t>
            </w:r>
            <w:r w:rsidRPr="00156872">
              <w:rPr>
                <w:rFonts w:ascii="Times New Roman" w:hAnsi="Times New Roman"/>
                <w:bCs/>
              </w:rPr>
              <w:t> - je vytýčenie základných tém a okruhov, určenie činností a prostriedkov, rozdelenie úloh skupinám, či jednotlivcom, časový plán a pod. V tejto etape preberajú iniciatívu žiaci, učiteľ vystupuje v úlohe konzultanta, poradcu.</w:t>
            </w:r>
          </w:p>
          <w:p w14:paraId="121FB718" w14:textId="708E80B5" w:rsidR="00156872" w:rsidRPr="00156872" w:rsidRDefault="00156872" w:rsidP="00156872">
            <w:pPr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56872">
              <w:rPr>
                <w:rFonts w:ascii="Times New Roman" w:hAnsi="Times New Roman"/>
                <w:b/>
                <w:bCs/>
              </w:rPr>
              <w:t>Uskutočnenie </w:t>
            </w:r>
            <w:r w:rsidRPr="00156872">
              <w:rPr>
                <w:rFonts w:ascii="Times New Roman" w:hAnsi="Times New Roman"/>
                <w:bCs/>
              </w:rPr>
              <w:t xml:space="preserve">– predstavuje vlastné riešenie projektovej úlohy, návrh alternatív, výber optimálneho riešenia, spracovanie podkladov, dokumentácie. Realizujú ho </w:t>
            </w:r>
            <w:r>
              <w:rPr>
                <w:rFonts w:ascii="Times New Roman" w:hAnsi="Times New Roman"/>
                <w:bCs/>
              </w:rPr>
              <w:t>žiaci</w:t>
            </w:r>
            <w:r w:rsidRPr="00156872">
              <w:rPr>
                <w:rFonts w:ascii="Times New Roman" w:hAnsi="Times New Roman"/>
                <w:bCs/>
              </w:rPr>
              <w:t>, prejavuje sa ich aktivita, tvorivá činnosť, samostatnosť, komunikácia, učia sa spolupracovať, získavajú hodnotovú orientáciu, zodpovednosť a pod. Učiteľ je skôr v pozadí, ale môže podľa potreby zastávať rolu vodcu, organizátora, pomocníka, oponenta, rozhodcu a pod.</w:t>
            </w:r>
          </w:p>
          <w:p w14:paraId="65BFDF9E" w14:textId="3569AF91" w:rsidR="00156872" w:rsidRPr="00156872" w:rsidRDefault="00156872" w:rsidP="00156872">
            <w:pPr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56872">
              <w:rPr>
                <w:rFonts w:ascii="Times New Roman" w:hAnsi="Times New Roman"/>
                <w:b/>
                <w:bCs/>
              </w:rPr>
              <w:t>Hodnotenie</w:t>
            </w:r>
            <w:r w:rsidRPr="00156872">
              <w:rPr>
                <w:rFonts w:ascii="Times New Roman" w:hAnsi="Times New Roman"/>
                <w:bCs/>
              </w:rPr>
              <w:t xml:space="preserve"> – orientuje sa hlavne na </w:t>
            </w:r>
            <w:r w:rsidR="00F416E6">
              <w:rPr>
                <w:rFonts w:ascii="Times New Roman" w:hAnsi="Times New Roman"/>
                <w:bCs/>
              </w:rPr>
              <w:t xml:space="preserve">žiacke </w:t>
            </w:r>
            <w:r w:rsidRPr="00156872">
              <w:rPr>
                <w:rFonts w:ascii="Times New Roman" w:hAnsi="Times New Roman"/>
                <w:bCs/>
              </w:rPr>
              <w:t>hodnotenie priebehu celej akcie a prezentáciu jej výsledkov. Rovnocenne sa tu uplatňuje samozrejme i hodnotenie zo strany učiteľa.</w:t>
            </w:r>
          </w:p>
          <w:p w14:paraId="50E6230A" w14:textId="7B9A6AD0" w:rsidR="00156872" w:rsidRDefault="00156872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1F7CF4F1" w14:textId="7BE1F0BB" w:rsidR="00156872" w:rsidRPr="00156872" w:rsidRDefault="00156872" w:rsidP="0015687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416E6">
              <w:rPr>
                <w:rFonts w:ascii="Times New Roman" w:hAnsi="Times New Roman"/>
              </w:rPr>
              <w:t xml:space="preserve">Príklad </w:t>
            </w:r>
            <w:r w:rsidR="00F416E6">
              <w:rPr>
                <w:rFonts w:ascii="Times New Roman" w:hAnsi="Times New Roman"/>
              </w:rPr>
              <w:t xml:space="preserve">zadania </w:t>
            </w:r>
            <w:r w:rsidRPr="00F416E6">
              <w:rPr>
                <w:rFonts w:ascii="Times New Roman" w:hAnsi="Times New Roman"/>
              </w:rPr>
              <w:t>v predmete Matematika</w:t>
            </w:r>
            <w:r w:rsidRPr="00F416E6">
              <w:rPr>
                <w:rFonts w:ascii="Times New Roman" w:hAnsi="Times New Roman"/>
              </w:rPr>
              <w:br/>
            </w:r>
            <w:r w:rsidRPr="00F416E6">
              <w:rPr>
                <w:rFonts w:ascii="Times New Roman" w:hAnsi="Times New Roman"/>
              </w:rPr>
              <w:br/>
            </w:r>
            <w:r w:rsidR="00F416E6" w:rsidRPr="00F416E6">
              <w:rPr>
                <w:rFonts w:ascii="Times New Roman" w:hAnsi="Times New Roman"/>
              </w:rPr>
              <w:t>OPS/</w:t>
            </w:r>
            <w:r w:rsidRPr="00F416E6">
              <w:rPr>
                <w:rFonts w:ascii="Times New Roman" w:hAnsi="Times New Roman"/>
              </w:rPr>
              <w:t>Projektová úloha pre žiakov 3. ročníka v tematickom celku ŠTATISTIKA</w:t>
            </w:r>
            <w:r w:rsidRPr="00F416E6">
              <w:rPr>
                <w:rFonts w:ascii="Times New Roman" w:hAnsi="Times New Roman"/>
              </w:rPr>
              <w:br/>
            </w:r>
            <w:r w:rsidRPr="00F416E6">
              <w:rPr>
                <w:rFonts w:ascii="Times New Roman" w:hAnsi="Times New Roman"/>
              </w:rPr>
              <w:br/>
              <w:t xml:space="preserve">Téma: NAŠA TRIEDA V ČÍSLACH </w:t>
            </w:r>
            <w:r w:rsidRPr="00F416E6">
              <w:rPr>
                <w:rFonts w:ascii="Times New Roman" w:hAnsi="Times New Roman"/>
              </w:rPr>
              <w:br/>
            </w:r>
            <w:r w:rsidRPr="00156872">
              <w:rPr>
                <w:rFonts w:ascii="Times New Roman" w:hAnsi="Times New Roman"/>
                <w:bCs/>
              </w:rPr>
              <w:br/>
            </w:r>
            <w:r w:rsidRPr="00156872">
              <w:rPr>
                <w:rFonts w:ascii="Times New Roman" w:hAnsi="Times New Roman"/>
                <w:b/>
                <w:bCs/>
              </w:rPr>
              <w:t>Hlavný cieľ:</w:t>
            </w:r>
            <w:r w:rsidRPr="00156872">
              <w:rPr>
                <w:rFonts w:ascii="Times New Roman" w:hAnsi="Times New Roman"/>
                <w:bCs/>
              </w:rPr>
              <w:t> ovládať základné štatistické pojmy, vedieť ich aplikovať pri spracovaní </w:t>
            </w:r>
            <w:r w:rsidRPr="00156872">
              <w:rPr>
                <w:rFonts w:ascii="Times New Roman" w:hAnsi="Times New Roman"/>
                <w:bCs/>
              </w:rPr>
              <w:br/>
              <w:t>vlastného štatistického súboru</w:t>
            </w:r>
            <w:r w:rsidRPr="00156872">
              <w:rPr>
                <w:rFonts w:ascii="Times New Roman" w:hAnsi="Times New Roman"/>
                <w:bCs/>
              </w:rPr>
              <w:br/>
            </w:r>
            <w:r w:rsidRPr="00156872">
              <w:rPr>
                <w:rFonts w:ascii="Times New Roman" w:hAnsi="Times New Roman"/>
                <w:bCs/>
              </w:rPr>
              <w:br/>
            </w:r>
            <w:r w:rsidRPr="00156872">
              <w:rPr>
                <w:rFonts w:ascii="Times New Roman" w:hAnsi="Times New Roman"/>
                <w:b/>
                <w:bCs/>
              </w:rPr>
              <w:t>Obsah práce: </w:t>
            </w:r>
            <w:r w:rsidRPr="00156872">
              <w:rPr>
                <w:rFonts w:ascii="Times New Roman" w:hAnsi="Times New Roman"/>
                <w:bCs/>
              </w:rPr>
              <w:br/>
            </w:r>
          </w:p>
          <w:p w14:paraId="17CD8C08" w14:textId="77777777" w:rsidR="00156872" w:rsidRPr="00156872" w:rsidRDefault="00156872" w:rsidP="00156872">
            <w:pPr>
              <w:numPr>
                <w:ilvl w:val="2"/>
                <w:numId w:val="2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156872">
              <w:rPr>
                <w:rFonts w:ascii="Times New Roman" w:hAnsi="Times New Roman"/>
                <w:bCs/>
              </w:rPr>
              <w:t>spracovanie základnej teórie zo štatistiky</w:t>
            </w:r>
          </w:p>
          <w:p w14:paraId="4381D783" w14:textId="77777777" w:rsidR="00156872" w:rsidRPr="00156872" w:rsidRDefault="00156872" w:rsidP="00156872">
            <w:pPr>
              <w:numPr>
                <w:ilvl w:val="2"/>
                <w:numId w:val="2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156872">
              <w:rPr>
                <w:rFonts w:ascii="Times New Roman" w:hAnsi="Times New Roman"/>
                <w:bCs/>
              </w:rPr>
              <w:t>tabuľka vlastnej databázy štatistických znakov</w:t>
            </w:r>
          </w:p>
          <w:p w14:paraId="673596CD" w14:textId="77777777" w:rsidR="00156872" w:rsidRPr="00156872" w:rsidRDefault="00156872" w:rsidP="00156872">
            <w:pPr>
              <w:numPr>
                <w:ilvl w:val="2"/>
                <w:numId w:val="2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156872">
              <w:rPr>
                <w:rFonts w:ascii="Times New Roman" w:hAnsi="Times New Roman"/>
                <w:bCs/>
              </w:rPr>
              <w:t>spracovanie konkrétneho štatistického súboru (jednotlivé štatistické výpočty)</w:t>
            </w:r>
          </w:p>
          <w:p w14:paraId="0DE72AFD" w14:textId="77777777" w:rsidR="00156872" w:rsidRPr="00156872" w:rsidRDefault="00156872" w:rsidP="00156872">
            <w:pPr>
              <w:numPr>
                <w:ilvl w:val="2"/>
                <w:numId w:val="2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156872">
              <w:rPr>
                <w:rFonts w:ascii="Times New Roman" w:hAnsi="Times New Roman"/>
                <w:bCs/>
              </w:rPr>
              <w:t>grafické vyjadrenie štatistických údajov</w:t>
            </w:r>
          </w:p>
          <w:p w14:paraId="7868F0B1" w14:textId="77777777" w:rsidR="00156872" w:rsidRPr="00156872" w:rsidRDefault="00156872" w:rsidP="00156872">
            <w:pPr>
              <w:numPr>
                <w:ilvl w:val="2"/>
                <w:numId w:val="2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156872">
              <w:rPr>
                <w:rFonts w:ascii="Times New Roman" w:hAnsi="Times New Roman"/>
                <w:bCs/>
              </w:rPr>
              <w:t>záver (vyhodnotenie prieskumu)</w:t>
            </w:r>
          </w:p>
          <w:p w14:paraId="22F6E601" w14:textId="3F286234" w:rsidR="00EE1416" w:rsidRPr="00C776AE" w:rsidRDefault="00F416E6" w:rsidP="0015687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vytvárať ďalšie námety na projektové vyučovanie a postupne ich zdieľať.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39FBB688" w:rsidR="00F305BB" w:rsidRPr="007B6C7D" w:rsidRDefault="008E1C53" w:rsidP="007B6C7D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08964338" w:rsidR="00F305BB" w:rsidRPr="007B6C7D" w:rsidRDefault="008E1C53" w:rsidP="007B6C7D">
            <w:pPr>
              <w:tabs>
                <w:tab w:val="left" w:pos="1114"/>
              </w:tabs>
              <w:spacing w:after="0" w:line="240" w:lineRule="auto"/>
            </w:pPr>
            <w:r>
              <w:t>6.4.2022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079D7D96" w:rsidR="00F305BB" w:rsidRPr="007B6C7D" w:rsidRDefault="008E1C53" w:rsidP="007B6C7D">
            <w:pPr>
              <w:tabs>
                <w:tab w:val="left" w:pos="1114"/>
              </w:tabs>
              <w:spacing w:after="0" w:line="240" w:lineRule="auto"/>
            </w:pPr>
            <w:r>
              <w:t>Mgr.Romana Birošová,MBA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Dátum</w:t>
            </w:r>
          </w:p>
        </w:tc>
        <w:tc>
          <w:tcPr>
            <w:tcW w:w="5135" w:type="dxa"/>
          </w:tcPr>
          <w:p w14:paraId="6A8B6B4C" w14:textId="3FE7867C" w:rsidR="00F305BB" w:rsidRPr="007B6C7D" w:rsidRDefault="008E1C53" w:rsidP="007B6C7D">
            <w:pPr>
              <w:tabs>
                <w:tab w:val="left" w:pos="1114"/>
              </w:tabs>
              <w:spacing w:after="0" w:line="240" w:lineRule="auto"/>
            </w:pPr>
            <w:r>
              <w:t>6.4.2022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060" w:type="dxa"/>
        <w:tblLayout w:type="fixed"/>
        <w:tblLook w:val="01E0" w:firstRow="1" w:lastRow="1" w:firstColumn="1" w:lastColumn="1" w:noHBand="0" w:noVBand="0"/>
      </w:tblPr>
      <w:tblGrid>
        <w:gridCol w:w="3374"/>
        <w:gridCol w:w="5686"/>
      </w:tblGrid>
      <w:tr w:rsidR="008E1C53" w14:paraId="6FB998D2" w14:textId="77777777" w:rsidTr="008E1C53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D799EC" w14:textId="77777777" w:rsidR="008E1C53" w:rsidRDefault="008E1C53" w:rsidP="003E0CD9">
            <w:r w:rsidRPr="008557B4">
              <w:rPr>
                <w:rFonts w:cs="Calibri"/>
                <w:sz w:val="20"/>
                <w:szCs w:val="20"/>
              </w:rPr>
              <w:t>Prioritná os: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38CA66" w14:textId="77777777" w:rsidR="008E1C53" w:rsidRDefault="008E1C53" w:rsidP="003E0CD9">
            <w:r w:rsidRPr="008557B4">
              <w:rPr>
                <w:rFonts w:cs="Calibri"/>
                <w:sz w:val="20"/>
                <w:szCs w:val="20"/>
              </w:rPr>
              <w:t>Vzdelávanie</w:t>
            </w:r>
          </w:p>
        </w:tc>
      </w:tr>
      <w:tr w:rsidR="008E1C53" w14:paraId="14F35BC6" w14:textId="77777777" w:rsidTr="008E1C53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28B48A" w14:textId="77777777" w:rsidR="008E1C53" w:rsidRDefault="008E1C53" w:rsidP="003E0CD9">
            <w:r w:rsidRPr="008557B4">
              <w:rPr>
                <w:rFonts w:cs="Calibri"/>
                <w:sz w:val="20"/>
                <w:szCs w:val="20"/>
              </w:rPr>
              <w:t>Špecifický cieľ: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A2DC8A" w14:textId="77777777" w:rsidR="008E1C53" w:rsidRDefault="008E1C53" w:rsidP="003E0CD9">
            <w:r w:rsidRPr="008557B4">
              <w:rPr>
                <w:rFonts w:cs="Calibri"/>
                <w:sz w:val="20"/>
                <w:szCs w:val="20"/>
              </w:rPr>
              <w:t xml:space="preserve">1.2.1 Zvýšiť kvalitu odborného vzdelávania a prípravy reflektujúc potreby trhu práce </w:t>
            </w:r>
          </w:p>
        </w:tc>
      </w:tr>
      <w:tr w:rsidR="008E1C53" w14:paraId="0A7AD5F9" w14:textId="77777777" w:rsidTr="008E1C53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1472E6" w14:textId="77777777" w:rsidR="008E1C53" w:rsidRDefault="008E1C53" w:rsidP="003E0CD9">
            <w:r w:rsidRPr="008557B4">
              <w:rPr>
                <w:rFonts w:cs="Calibri"/>
                <w:sz w:val="20"/>
                <w:szCs w:val="20"/>
              </w:rPr>
              <w:t>Prijímateľ: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88D5B2" w14:textId="77777777" w:rsidR="008E1C53" w:rsidRDefault="008E1C53" w:rsidP="003E0CD9">
            <w:r w:rsidRPr="008557B4">
              <w:rPr>
                <w:rFonts w:cs="Calibri"/>
                <w:sz w:val="20"/>
                <w:szCs w:val="20"/>
              </w:rPr>
              <w:t xml:space="preserve">Súkromná stredná odborná škola – ELBA, Smetanova 2, Prešov </w:t>
            </w:r>
          </w:p>
        </w:tc>
      </w:tr>
      <w:tr w:rsidR="008E1C53" w14:paraId="670239AC" w14:textId="77777777" w:rsidTr="008E1C53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6F6FCD" w14:textId="77777777" w:rsidR="008E1C53" w:rsidRDefault="008E1C53" w:rsidP="003E0CD9">
            <w:r w:rsidRPr="008557B4">
              <w:rPr>
                <w:rFonts w:cs="Calibri"/>
                <w:sz w:val="20"/>
                <w:szCs w:val="20"/>
              </w:rPr>
              <w:t>Názov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20C3BF" w14:textId="77777777" w:rsidR="008E1C53" w:rsidRDefault="008E1C53" w:rsidP="003E0CD9">
            <w:r w:rsidRPr="008557B4">
              <w:rPr>
                <w:rFonts w:cs="Calibri"/>
                <w:sz w:val="20"/>
                <w:szCs w:val="20"/>
              </w:rPr>
              <w:t xml:space="preserve">Vzdelávanie 4.0 – prepojenie teórie s praxou </w:t>
            </w:r>
          </w:p>
        </w:tc>
      </w:tr>
      <w:tr w:rsidR="008E1C53" w14:paraId="1EF9CFB4" w14:textId="77777777" w:rsidTr="008E1C53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6B59AB" w14:textId="77777777" w:rsidR="008E1C53" w:rsidRDefault="008E1C53" w:rsidP="003E0CD9">
            <w:r w:rsidRPr="008557B4">
              <w:rPr>
                <w:rFonts w:cs="Calibri"/>
                <w:sz w:val="20"/>
                <w:szCs w:val="20"/>
              </w:rPr>
              <w:t>Kód ITMS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5BDB53" w14:textId="77777777" w:rsidR="008E1C53" w:rsidRDefault="008E1C53" w:rsidP="003E0CD9">
            <w:r w:rsidRPr="008557B4">
              <w:rPr>
                <w:rFonts w:cs="Calibri"/>
                <w:sz w:val="20"/>
                <w:szCs w:val="20"/>
              </w:rPr>
              <w:t xml:space="preserve">312010ADL9 </w:t>
            </w:r>
          </w:p>
        </w:tc>
      </w:tr>
      <w:tr w:rsidR="008E1C53" w14:paraId="2977362F" w14:textId="77777777" w:rsidTr="008E1C53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A1E9FB" w14:textId="77777777" w:rsidR="008E1C53" w:rsidRDefault="008E1C53" w:rsidP="003E0CD9">
            <w:r w:rsidRPr="008557B4">
              <w:rPr>
                <w:rFonts w:cs="Calibri"/>
                <w:sz w:val="20"/>
                <w:szCs w:val="20"/>
              </w:rPr>
              <w:t>Názov pedagogického klubu: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9A27DD" w14:textId="77777777" w:rsidR="008E1C53" w:rsidRDefault="008E1C53" w:rsidP="003E0CD9">
            <w:r w:rsidRPr="008557B4">
              <w:rPr>
                <w:rFonts w:cs="Calibri"/>
                <w:sz w:val="20"/>
                <w:szCs w:val="20"/>
              </w:rPr>
              <w:t xml:space="preserve">Pedagogický klub č. 3   </w:t>
            </w:r>
          </w:p>
          <w:p w14:paraId="4AF80F7E" w14:textId="77777777" w:rsidR="008E1C53" w:rsidRDefault="008E1C53" w:rsidP="003E0CD9">
            <w:r w:rsidRPr="008557B4">
              <w:rPr>
                <w:rFonts w:cs="Calibri"/>
                <w:sz w:val="20"/>
                <w:szCs w:val="20"/>
              </w:rPr>
              <w:t xml:space="preserve">Pedagogický klub finančnej a matematickej gramotnosti </w:t>
            </w:r>
          </w:p>
        </w:tc>
      </w:tr>
    </w:tbl>
    <w:p w14:paraId="4298950E" w14:textId="77777777" w:rsidR="008E1C53" w:rsidRDefault="008E1C53" w:rsidP="008E1C53">
      <w:pPr>
        <w:pStyle w:val="Nadpis1"/>
        <w:jc w:val="center"/>
        <w:rPr>
          <w:sz w:val="24"/>
          <w:szCs w:val="24"/>
          <w:lang w:val="sk-SK"/>
        </w:rPr>
      </w:pPr>
    </w:p>
    <w:p w14:paraId="729B139F" w14:textId="77777777" w:rsidR="008E1C53" w:rsidRDefault="008E1C53" w:rsidP="008E1C53">
      <w:pPr>
        <w:pStyle w:val="Nadpis1"/>
        <w:jc w:val="center"/>
        <w:rPr>
          <w:sz w:val="24"/>
          <w:szCs w:val="24"/>
          <w:lang w:val="sk-SK"/>
        </w:rPr>
      </w:pPr>
    </w:p>
    <w:p w14:paraId="424CBD49" w14:textId="77777777" w:rsidR="008E1C53" w:rsidRDefault="008E1C53" w:rsidP="008E1C53">
      <w:pPr>
        <w:pStyle w:val="Nadpis1"/>
        <w:jc w:val="center"/>
        <w:rPr>
          <w:sz w:val="24"/>
          <w:szCs w:val="24"/>
          <w:lang w:val="sk-SK"/>
        </w:rPr>
      </w:pPr>
    </w:p>
    <w:p w14:paraId="1506838C" w14:textId="77777777" w:rsidR="008E1C53" w:rsidRDefault="008E1C53" w:rsidP="008E1C53">
      <w:pPr>
        <w:pStyle w:val="Nadpis1"/>
        <w:jc w:val="center"/>
        <w:rPr>
          <w:sz w:val="24"/>
          <w:szCs w:val="24"/>
          <w:lang w:val="sk-SK"/>
        </w:rPr>
      </w:pPr>
    </w:p>
    <w:p w14:paraId="35F14629" w14:textId="77777777" w:rsidR="008E1C53" w:rsidRDefault="008E1C53" w:rsidP="008E1C53">
      <w:pPr>
        <w:pStyle w:val="Nadpis1"/>
        <w:jc w:val="center"/>
        <w:rPr>
          <w:sz w:val="24"/>
          <w:szCs w:val="24"/>
          <w:lang w:val="sk-SK"/>
        </w:rPr>
      </w:pPr>
    </w:p>
    <w:p w14:paraId="2CB87A4C" w14:textId="77777777" w:rsidR="008E1C53" w:rsidRPr="001B69AF" w:rsidRDefault="008E1C53" w:rsidP="008E1C53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C388E66" w14:textId="77777777" w:rsidR="008E1C53" w:rsidRDefault="008E1C53" w:rsidP="008E1C53"/>
    <w:p w14:paraId="60BBC242" w14:textId="77777777" w:rsidR="008E1C53" w:rsidRDefault="008E1C53" w:rsidP="008E1C53">
      <w:r>
        <w:t xml:space="preserve">Miesto konania stretnutia: </w:t>
      </w:r>
      <w:r w:rsidRPr="008557B4">
        <w:rPr>
          <w:rFonts w:cs="Calibri"/>
          <w:sz w:val="20"/>
          <w:szCs w:val="20"/>
        </w:rPr>
        <w:t>Súkromná stredná odborná škola – ELBA, Smetanova 2, Prešov</w:t>
      </w:r>
    </w:p>
    <w:p w14:paraId="1E184AB3" w14:textId="6D1CC8BF" w:rsidR="008E1C53" w:rsidRDefault="008E1C53" w:rsidP="008E1C53">
      <w:r>
        <w:t xml:space="preserve">Dátum konania stretnutia: </w:t>
      </w:r>
      <w:r>
        <w:t>6.0</w:t>
      </w:r>
      <w:r>
        <w:t>4</w:t>
      </w:r>
      <w:r>
        <w:t>.2022</w:t>
      </w:r>
    </w:p>
    <w:p w14:paraId="24F67E02" w14:textId="77777777" w:rsidR="008E1C53" w:rsidRDefault="008E1C53" w:rsidP="008E1C53">
      <w:r>
        <w:t>Trvanie stretnutia: od14.45 hod</w:t>
      </w:r>
      <w:r>
        <w:tab/>
        <w:t>do17.45hod</w:t>
      </w:r>
      <w:r>
        <w:tab/>
      </w:r>
    </w:p>
    <w:p w14:paraId="1F4CE96C" w14:textId="77777777" w:rsidR="008E1C53" w:rsidRDefault="008E1C53" w:rsidP="008E1C53"/>
    <w:p w14:paraId="64A38DC7" w14:textId="77777777" w:rsidR="008E1C53" w:rsidRDefault="008E1C53" w:rsidP="008E1C53">
      <w:r>
        <w:t>Zoznam účastníkov/členov pedagogického klubu: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879"/>
        <w:gridCol w:w="2383"/>
        <w:gridCol w:w="2265"/>
      </w:tblGrid>
      <w:tr w:rsidR="008E1C53" w14:paraId="59063FD9" w14:textId="77777777" w:rsidTr="003E0CD9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2F850" w14:textId="77777777" w:rsidR="008E1C53" w:rsidRDefault="008E1C53" w:rsidP="003E0CD9">
            <w:r w:rsidRPr="008557B4">
              <w:rPr>
                <w:rFonts w:cs="Calibri"/>
              </w:rPr>
              <w:t xml:space="preserve">č.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CF9EA" w14:textId="77777777" w:rsidR="008E1C53" w:rsidRDefault="008E1C53" w:rsidP="003E0CD9">
            <w:r w:rsidRPr="008557B4">
              <w:rPr>
                <w:rFonts w:cs="Calibri"/>
              </w:rPr>
              <w:t xml:space="preserve">Meno a priezvisko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C72BA" w14:textId="77777777" w:rsidR="008E1C53" w:rsidRDefault="008E1C53" w:rsidP="003E0CD9">
            <w:r w:rsidRPr="008557B4">
              <w:rPr>
                <w:rFonts w:cs="Calibri"/>
              </w:rPr>
              <w:t xml:space="preserve">Podpis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A38EB" w14:textId="77777777" w:rsidR="008E1C53" w:rsidRDefault="008E1C53" w:rsidP="003E0CD9">
            <w:r w:rsidRPr="008557B4">
              <w:rPr>
                <w:rFonts w:cs="Calibri"/>
              </w:rPr>
              <w:t xml:space="preserve">Inštitúcia </w:t>
            </w:r>
          </w:p>
        </w:tc>
      </w:tr>
      <w:tr w:rsidR="008E1C53" w14:paraId="19C2BFA5" w14:textId="77777777" w:rsidTr="003E0CD9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C55AD" w14:textId="77777777" w:rsidR="008E1C53" w:rsidRDefault="008E1C53" w:rsidP="003E0CD9">
            <w:r w:rsidRPr="008557B4">
              <w:rPr>
                <w:rFonts w:cs="Calibri"/>
              </w:rPr>
              <w:t xml:space="preserve">1.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FB2A0" w14:textId="77777777" w:rsidR="008E1C53" w:rsidRDefault="008E1C53" w:rsidP="003E0CD9">
            <w:r w:rsidRPr="008557B4">
              <w:rPr>
                <w:rFonts w:cs="Calibri"/>
              </w:rPr>
              <w:t xml:space="preserve">Ing.Branislav Blicha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489BB" w14:textId="77777777" w:rsidR="008E1C53" w:rsidRDefault="008E1C53" w:rsidP="003E0CD9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48A19" w14:textId="77777777" w:rsidR="008E1C53" w:rsidRDefault="008E1C53" w:rsidP="003E0CD9">
            <w:r w:rsidRPr="008557B4">
              <w:rPr>
                <w:rFonts w:cs="Calibri"/>
              </w:rPr>
              <w:t xml:space="preserve">SSOŠ ELBA  </w:t>
            </w:r>
          </w:p>
        </w:tc>
      </w:tr>
      <w:tr w:rsidR="008E1C53" w14:paraId="017AC899" w14:textId="77777777" w:rsidTr="003E0CD9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ED942" w14:textId="77777777" w:rsidR="008E1C53" w:rsidRDefault="008E1C53" w:rsidP="003E0CD9">
            <w:r w:rsidRPr="008557B4">
              <w:rPr>
                <w:rFonts w:cs="Calibri"/>
              </w:rPr>
              <w:t xml:space="preserve">2.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19B49" w14:textId="77777777" w:rsidR="008E1C53" w:rsidRDefault="008E1C53" w:rsidP="003E0CD9">
            <w:r w:rsidRPr="008557B4">
              <w:rPr>
                <w:rFonts w:cs="Calibri"/>
                <w:color w:val="323130"/>
              </w:rPr>
              <w:t xml:space="preserve">Ing. Marcela Hadviždžáková 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EFEFB" w14:textId="77777777" w:rsidR="008E1C53" w:rsidRDefault="008E1C53" w:rsidP="003E0CD9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8DD9F" w14:textId="77777777" w:rsidR="008E1C53" w:rsidRDefault="008E1C53" w:rsidP="003E0CD9">
            <w:r w:rsidRPr="008557B4">
              <w:rPr>
                <w:rFonts w:cs="Calibri"/>
              </w:rPr>
              <w:t xml:space="preserve">SSOŠ ELBA </w:t>
            </w:r>
          </w:p>
        </w:tc>
      </w:tr>
      <w:tr w:rsidR="008E1C53" w14:paraId="02C82A72" w14:textId="77777777" w:rsidTr="003E0CD9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E5306" w14:textId="77777777" w:rsidR="008E1C53" w:rsidRDefault="008E1C53" w:rsidP="003E0CD9">
            <w:r w:rsidRPr="008557B4">
              <w:rPr>
                <w:rFonts w:cs="Calibri"/>
              </w:rPr>
              <w:t xml:space="preserve">3.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3E4EC" w14:textId="77777777" w:rsidR="008E1C53" w:rsidRDefault="008E1C53" w:rsidP="003E0CD9">
            <w:r w:rsidRPr="008557B4">
              <w:rPr>
                <w:rFonts w:cs="Calibri"/>
              </w:rPr>
              <w:t xml:space="preserve">Mgr, Viera Voľanská Huntejová 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20B92" w14:textId="77777777" w:rsidR="008E1C53" w:rsidRDefault="008E1C53" w:rsidP="003E0CD9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2D812" w14:textId="77777777" w:rsidR="008E1C53" w:rsidRDefault="008E1C53" w:rsidP="003E0CD9">
            <w:r w:rsidRPr="008557B4">
              <w:rPr>
                <w:rFonts w:cs="Calibri"/>
              </w:rPr>
              <w:t xml:space="preserve">SSOŠ ELBA </w:t>
            </w:r>
          </w:p>
        </w:tc>
      </w:tr>
      <w:tr w:rsidR="008E1C53" w14:paraId="5EABD714" w14:textId="77777777" w:rsidTr="003E0CD9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10D49" w14:textId="77777777" w:rsidR="008E1C53" w:rsidRDefault="008E1C53" w:rsidP="003E0CD9">
            <w:r w:rsidRPr="008557B4">
              <w:rPr>
                <w:rFonts w:cs="Calibri"/>
              </w:rPr>
              <w:t xml:space="preserve">4.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79A5E" w14:textId="77777777" w:rsidR="008E1C53" w:rsidRDefault="008E1C53" w:rsidP="003E0CD9">
            <w:r w:rsidRPr="008557B4">
              <w:rPr>
                <w:rFonts w:cs="Calibri"/>
              </w:rPr>
              <w:t xml:space="preserve">Mgr.Karina Kováčová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9C165" w14:textId="77777777" w:rsidR="008E1C53" w:rsidRDefault="008E1C53" w:rsidP="003E0CD9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D10D6" w14:textId="77777777" w:rsidR="008E1C53" w:rsidRDefault="008E1C53" w:rsidP="003E0CD9">
            <w:r w:rsidRPr="008557B4">
              <w:rPr>
                <w:rFonts w:cs="Calibri"/>
              </w:rPr>
              <w:t xml:space="preserve">SSOŠ ELBA </w:t>
            </w:r>
          </w:p>
        </w:tc>
      </w:tr>
      <w:tr w:rsidR="008E1C53" w14:paraId="40B1C0D3" w14:textId="77777777" w:rsidTr="003E0CD9">
        <w:trPr>
          <w:trHeight w:val="34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70558" w14:textId="77777777" w:rsidR="008E1C53" w:rsidRDefault="008E1C53" w:rsidP="003E0CD9">
            <w:r w:rsidRPr="008557B4">
              <w:rPr>
                <w:rFonts w:cs="Calibri"/>
              </w:rPr>
              <w:t xml:space="preserve">5.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4A3BC" w14:textId="77777777" w:rsidR="008E1C53" w:rsidRDefault="008E1C53" w:rsidP="003E0CD9">
            <w:r w:rsidRPr="008557B4">
              <w:rPr>
                <w:rFonts w:cs="Calibri"/>
              </w:rPr>
              <w:t xml:space="preserve">Ing. Matúš Grega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A47EE" w14:textId="77777777" w:rsidR="008E1C53" w:rsidRDefault="008E1C53" w:rsidP="003E0CD9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6323B" w14:textId="77777777" w:rsidR="008E1C53" w:rsidRDefault="008E1C53" w:rsidP="003E0CD9">
            <w:r w:rsidRPr="008557B4">
              <w:rPr>
                <w:rFonts w:cs="Calibri"/>
              </w:rPr>
              <w:t xml:space="preserve">SSOŠ ELBA </w:t>
            </w:r>
          </w:p>
        </w:tc>
      </w:tr>
      <w:tr w:rsidR="008E1C53" w14:paraId="599D1AD6" w14:textId="77777777" w:rsidTr="003E0CD9">
        <w:trPr>
          <w:trHeight w:val="34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F2BC0" w14:textId="77777777" w:rsidR="008E1C53" w:rsidRDefault="008E1C53" w:rsidP="003E0CD9">
            <w:r w:rsidRPr="008557B4">
              <w:rPr>
                <w:rFonts w:cs="Calibri"/>
              </w:rPr>
              <w:t xml:space="preserve">6.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E616E" w14:textId="77777777" w:rsidR="008E1C53" w:rsidRDefault="008E1C53" w:rsidP="003E0CD9">
            <w:r w:rsidRPr="008557B4">
              <w:rPr>
                <w:rFonts w:cs="Calibri"/>
              </w:rPr>
              <w:t xml:space="preserve">Ing. Tatiana Šefčiková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C9C65" w14:textId="77777777" w:rsidR="008E1C53" w:rsidRDefault="008E1C53" w:rsidP="003E0CD9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88396" w14:textId="77777777" w:rsidR="008E1C53" w:rsidRDefault="008E1C53" w:rsidP="003E0CD9">
            <w:r w:rsidRPr="008557B4">
              <w:rPr>
                <w:rFonts w:cs="Calibri"/>
              </w:rPr>
              <w:t>SSOŠ ELBA</w:t>
            </w:r>
          </w:p>
        </w:tc>
      </w:tr>
    </w:tbl>
    <w:p w14:paraId="7B1B5BA1" w14:textId="77777777" w:rsidR="008E1C53" w:rsidRDefault="008E1C53" w:rsidP="008E1C53">
      <w:pPr>
        <w:jc w:val="both"/>
        <w:rPr>
          <w:rFonts w:ascii="Arial" w:hAnsi="Arial" w:cs="Arial"/>
          <w:sz w:val="20"/>
          <w:szCs w:val="20"/>
        </w:rPr>
      </w:pPr>
    </w:p>
    <w:p w14:paraId="0D0DD602" w14:textId="77777777" w:rsidR="00F305BB" w:rsidRDefault="00F305BB" w:rsidP="00D0796E"/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8E1C53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8E1C53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</w:tbl>
    <w:p w14:paraId="230B4392" w14:textId="77777777" w:rsidR="00F305BB" w:rsidRDefault="00F305BB" w:rsidP="00E36C97">
      <w:bookmarkStart w:id="0" w:name="_GoBack"/>
      <w:bookmarkEnd w:id="0"/>
    </w:p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BF293" w14:textId="77777777" w:rsidR="00174838" w:rsidRDefault="00174838" w:rsidP="00CF35D8">
      <w:pPr>
        <w:spacing w:after="0" w:line="240" w:lineRule="auto"/>
      </w:pPr>
      <w:r>
        <w:separator/>
      </w:r>
    </w:p>
  </w:endnote>
  <w:endnote w:type="continuationSeparator" w:id="0">
    <w:p w14:paraId="03F0569A" w14:textId="77777777" w:rsidR="00174838" w:rsidRDefault="0017483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D4616" w14:textId="77777777" w:rsidR="00174838" w:rsidRDefault="00174838" w:rsidP="00CF35D8">
      <w:pPr>
        <w:spacing w:after="0" w:line="240" w:lineRule="auto"/>
      </w:pPr>
      <w:r>
        <w:separator/>
      </w:r>
    </w:p>
  </w:footnote>
  <w:footnote w:type="continuationSeparator" w:id="0">
    <w:p w14:paraId="68021DE6" w14:textId="77777777" w:rsidR="00174838" w:rsidRDefault="0017483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6A84"/>
    <w:multiLevelType w:val="multilevel"/>
    <w:tmpl w:val="4814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934C6"/>
    <w:multiLevelType w:val="multilevel"/>
    <w:tmpl w:val="B3B4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3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8" w15:restartNumberingAfterBreak="0">
    <w:nsid w:val="6298318F"/>
    <w:multiLevelType w:val="multilevel"/>
    <w:tmpl w:val="E29E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DA4E5C"/>
    <w:multiLevelType w:val="multilevel"/>
    <w:tmpl w:val="C6DE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2"/>
  </w:num>
  <w:num w:numId="5">
    <w:abstractNumId w:val="21"/>
  </w:num>
  <w:num w:numId="6">
    <w:abstractNumId w:val="8"/>
  </w:num>
  <w:num w:numId="7">
    <w:abstractNumId w:val="7"/>
  </w:num>
  <w:num w:numId="8">
    <w:abstractNumId w:val="11"/>
  </w:num>
  <w:num w:numId="9">
    <w:abstractNumId w:val="23"/>
  </w:num>
  <w:num w:numId="10">
    <w:abstractNumId w:val="19"/>
  </w:num>
  <w:num w:numId="11">
    <w:abstractNumId w:val="28"/>
  </w:num>
  <w:num w:numId="12">
    <w:abstractNumId w:val="12"/>
  </w:num>
  <w:num w:numId="13">
    <w:abstractNumId w:val="15"/>
  </w:num>
  <w:num w:numId="14">
    <w:abstractNumId w:val="10"/>
  </w:num>
  <w:num w:numId="15">
    <w:abstractNumId w:val="17"/>
  </w:num>
  <w:num w:numId="16">
    <w:abstractNumId w:val="13"/>
  </w:num>
  <w:num w:numId="17">
    <w:abstractNumId w:val="3"/>
  </w:num>
  <w:num w:numId="18">
    <w:abstractNumId w:val="1"/>
  </w:num>
  <w:num w:numId="19">
    <w:abstractNumId w:val="14"/>
  </w:num>
  <w:num w:numId="20">
    <w:abstractNumId w:val="27"/>
  </w:num>
  <w:num w:numId="21">
    <w:abstractNumId w:val="16"/>
  </w:num>
  <w:num w:numId="22">
    <w:abstractNumId w:val="5"/>
  </w:num>
  <w:num w:numId="23">
    <w:abstractNumId w:val="9"/>
  </w:num>
  <w:num w:numId="24">
    <w:abstractNumId w:val="25"/>
  </w:num>
  <w:num w:numId="25">
    <w:abstractNumId w:val="6"/>
  </w:num>
  <w:num w:numId="26">
    <w:abstractNumId w:val="18"/>
  </w:num>
  <w:num w:numId="27">
    <w:abstractNumId w:val="26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56872"/>
    <w:rsid w:val="001620FF"/>
    <w:rsid w:val="001745A4"/>
    <w:rsid w:val="00174838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5347A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E1C53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A5B57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711F9"/>
    <w:rsid w:val="00DA6ABC"/>
    <w:rsid w:val="00DB7414"/>
    <w:rsid w:val="00DC1968"/>
    <w:rsid w:val="00DD0E0D"/>
    <w:rsid w:val="00DD1AA4"/>
    <w:rsid w:val="00DE5A3C"/>
    <w:rsid w:val="00E20B98"/>
    <w:rsid w:val="00E3359C"/>
    <w:rsid w:val="00E33AAA"/>
    <w:rsid w:val="00E36C97"/>
    <w:rsid w:val="00E6289E"/>
    <w:rsid w:val="00E926D8"/>
    <w:rsid w:val="00E94264"/>
    <w:rsid w:val="00EB637D"/>
    <w:rsid w:val="00EC5730"/>
    <w:rsid w:val="00EE1416"/>
    <w:rsid w:val="00F305BB"/>
    <w:rsid w:val="00F36E61"/>
    <w:rsid w:val="00F416E6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2</cp:revision>
  <cp:lastPrinted>2020-05-28T09:14:00Z</cp:lastPrinted>
  <dcterms:created xsi:type="dcterms:W3CDTF">2022-04-06T06:38:00Z</dcterms:created>
  <dcterms:modified xsi:type="dcterms:W3CDTF">2022-04-06T06:38:00Z</dcterms:modified>
</cp:coreProperties>
</file>