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AD" w:rsidRPr="00EC43E7" w:rsidRDefault="00276D8D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Zakre</w:t>
      </w:r>
      <w:bookmarkStart w:id="0" w:name="_GoBack"/>
      <w:bookmarkEnd w:id="0"/>
      <w:r w:rsidR="002D7C7B" w:rsidRPr="00EC43E7">
        <w:rPr>
          <w:rFonts w:asciiTheme="majorHAnsi" w:hAnsiTheme="majorHAnsi" w:cstheme="majorHAnsi"/>
          <w:b/>
          <w:sz w:val="28"/>
          <w:szCs w:val="28"/>
        </w:rPr>
        <w:t>s praktyk zawodowych – TECHNIK HODOWCA KONI (PP2019)</w:t>
      </w:r>
    </w:p>
    <w:p w:rsidR="002D7C7B" w:rsidRDefault="002D7C7B"/>
    <w:tbl>
      <w:tblPr>
        <w:tblStyle w:val="Tabela-Siatka"/>
        <w:tblW w:w="3949" w:type="pct"/>
        <w:tblLook w:val="04A0" w:firstRow="1" w:lastRow="0" w:firstColumn="1" w:lastColumn="0" w:noHBand="0" w:noVBand="1"/>
      </w:tblPr>
      <w:tblGrid>
        <w:gridCol w:w="4814"/>
        <w:gridCol w:w="6238"/>
      </w:tblGrid>
      <w:tr w:rsidR="002D7C7B" w:rsidRPr="00497A55" w:rsidTr="002D7C7B">
        <w:trPr>
          <w:trHeight w:val="244"/>
        </w:trPr>
        <w:tc>
          <w:tcPr>
            <w:tcW w:w="2178" w:type="pct"/>
            <w:vMerge w:val="restart"/>
            <w:vAlign w:val="center"/>
          </w:tcPr>
          <w:p w:rsidR="002D7C7B" w:rsidRPr="00497A55" w:rsidRDefault="002D7C7B" w:rsidP="00A860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b/>
                <w:sz w:val="20"/>
                <w:szCs w:val="20"/>
              </w:rPr>
              <w:t>Dział programowy</w:t>
            </w:r>
          </w:p>
        </w:tc>
        <w:tc>
          <w:tcPr>
            <w:tcW w:w="2822" w:type="pct"/>
            <w:vMerge w:val="restart"/>
            <w:vAlign w:val="center"/>
          </w:tcPr>
          <w:p w:rsidR="002D7C7B" w:rsidRPr="00497A55" w:rsidRDefault="002D7C7B" w:rsidP="00A860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b/>
                <w:sz w:val="20"/>
                <w:szCs w:val="20"/>
              </w:rPr>
              <w:t>Tematy jednostek metodycznych</w:t>
            </w:r>
          </w:p>
        </w:tc>
      </w:tr>
      <w:tr w:rsidR="002D7C7B" w:rsidRPr="00497A55" w:rsidTr="002D7C7B">
        <w:trPr>
          <w:trHeight w:val="244"/>
        </w:trPr>
        <w:tc>
          <w:tcPr>
            <w:tcW w:w="2178" w:type="pct"/>
            <w:vMerge/>
          </w:tcPr>
          <w:p w:rsidR="002D7C7B" w:rsidRPr="00497A55" w:rsidRDefault="002D7C7B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  <w:vMerge/>
          </w:tcPr>
          <w:p w:rsidR="002D7C7B" w:rsidRPr="00497A55" w:rsidRDefault="002D7C7B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43E7" w:rsidRPr="00497A55" w:rsidTr="002D7C7B">
        <w:trPr>
          <w:trHeight w:val="213"/>
        </w:trPr>
        <w:tc>
          <w:tcPr>
            <w:tcW w:w="2178" w:type="pct"/>
            <w:vMerge w:val="restar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I. Budowa zewnętrzna, pokrój i biomechanika konia</w:t>
            </w: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 xml:space="preserve">1. Budowa zewnętrzna konia </w:t>
            </w:r>
            <w:r w:rsidRPr="00497A5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– </w:t>
            </w: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eksterier</w:t>
            </w:r>
          </w:p>
        </w:tc>
      </w:tr>
      <w:tr w:rsidR="00EC43E7" w:rsidRPr="00497A55" w:rsidTr="002D7C7B">
        <w:trPr>
          <w:trHeight w:val="231"/>
        </w:trPr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2. Pomiary zoometryczne u koni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3. Ocena bonitacyjna koni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4. Ocena liniowa koni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5. Zachowania behawioralne koni</w:t>
            </w:r>
          </w:p>
        </w:tc>
      </w:tr>
      <w:tr w:rsidR="00EC43E7" w:rsidRPr="00497A55" w:rsidTr="002D7C7B">
        <w:tc>
          <w:tcPr>
            <w:tcW w:w="2178" w:type="pct"/>
            <w:vMerge w:val="restar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II. Identyfikacja koni i zasady pielęgnacji koni</w:t>
            </w:r>
          </w:p>
        </w:tc>
        <w:tc>
          <w:tcPr>
            <w:tcW w:w="2822" w:type="pct"/>
          </w:tcPr>
          <w:p w:rsidR="00EC43E7" w:rsidRPr="00497A55" w:rsidRDefault="00EC43E7" w:rsidP="00A860D6">
            <w:pPr>
              <w:tabs>
                <w:tab w:val="right" w:pos="180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ab/>
              <w:t>1. Pielęgnacja codzienna i okresowa koni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2. Opis identyfikacyjny konia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 xml:space="preserve">3. Pomoc przy </w:t>
            </w:r>
            <w:proofErr w:type="spellStart"/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rozczyszczaniu</w:t>
            </w:r>
            <w:proofErr w:type="spellEnd"/>
            <w:r w:rsidRPr="00497A55">
              <w:rPr>
                <w:rFonts w:asciiTheme="majorHAnsi" w:hAnsiTheme="majorHAnsi" w:cstheme="majorHAnsi"/>
                <w:sz w:val="20"/>
                <w:szCs w:val="20"/>
              </w:rPr>
              <w:t xml:space="preserve"> i kuciu koni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4. Przygotowanie konia do przeglądów i wystaw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 xml:space="preserve">5.Prezentacja konia podczas wystawy lub przeglądu hodowlanego </w:t>
            </w:r>
          </w:p>
        </w:tc>
      </w:tr>
      <w:tr w:rsidR="00EC43E7" w:rsidRPr="00497A55" w:rsidTr="002D7C7B">
        <w:tc>
          <w:tcPr>
            <w:tcW w:w="2178" w:type="pct"/>
            <w:vMerge w:val="restar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III. Systemy utrzymania koni</w:t>
            </w: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1. Pielęgnacja budynków stajennych i towarzyszących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2. Kontrola stanu technicznego wybiegów okólników i padoków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3. Obiekty pomocnicze w pracy z młodym koniem</w:t>
            </w:r>
          </w:p>
        </w:tc>
      </w:tr>
      <w:tr w:rsidR="00EC43E7" w:rsidRPr="00497A55" w:rsidTr="002D7C7B">
        <w:tc>
          <w:tcPr>
            <w:tcW w:w="2178" w:type="pct"/>
            <w:vMerge w:val="restar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IV. Praca hodowlana i rozród koni</w:t>
            </w: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1. Próbowanie i stanowienie klaczy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2. Klacz źrebna – rozpoznanie ciąży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3. Opieka nad klaczą źrebną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4. Pomoc okołoporodowa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 xml:space="preserve">5. Odchów źrebiąt 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 xml:space="preserve">6. Odsadzanie źrebiąt 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7. Dokumentacja związana z rozrodem koni</w:t>
            </w:r>
          </w:p>
        </w:tc>
      </w:tr>
      <w:tr w:rsidR="00EC43E7" w:rsidRPr="00497A55" w:rsidTr="002D7C7B">
        <w:tc>
          <w:tcPr>
            <w:tcW w:w="2178" w:type="pct"/>
            <w:vMerge w:val="restar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V. Żywienie koni</w:t>
            </w: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1. Przygotowanie i zadawanie pasz dla koni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2. Przygotowanie koni do sezonu pastwiskowego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3. Technologia produkcji siana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4. Magazynowanie i przechowywanie pasz</w:t>
            </w:r>
          </w:p>
        </w:tc>
      </w:tr>
      <w:tr w:rsidR="00EC43E7" w:rsidRPr="00497A55" w:rsidTr="002D7C7B">
        <w:tc>
          <w:tcPr>
            <w:tcW w:w="2178" w:type="pct"/>
            <w:vMerge w:val="restar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VI. Choroby i profilaktyka koni</w:t>
            </w: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1. Ocena stanu zdrowia konia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2. Odrobaczenie i szczepienia koni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3. Profilaktyczne zabiegi stosowane w obrębie kopyt i kończyn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4. Rozpoznawanie kulawizn u koni</w:t>
            </w:r>
          </w:p>
        </w:tc>
      </w:tr>
      <w:tr w:rsidR="00EC43E7" w:rsidRPr="00497A55" w:rsidTr="002D7C7B">
        <w:tc>
          <w:tcPr>
            <w:tcW w:w="2178" w:type="pct"/>
            <w:vMerge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2" w:type="pct"/>
          </w:tcPr>
          <w:p w:rsidR="00EC43E7" w:rsidRPr="00497A55" w:rsidRDefault="00EC43E7" w:rsidP="00A860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7A55">
              <w:rPr>
                <w:rFonts w:asciiTheme="majorHAnsi" w:hAnsiTheme="majorHAnsi" w:cstheme="majorHAnsi"/>
                <w:sz w:val="20"/>
                <w:szCs w:val="20"/>
              </w:rPr>
              <w:t>5. Pomoc koniom w nagłych wypadkach w warunkach rzeczywistych</w:t>
            </w:r>
          </w:p>
        </w:tc>
      </w:tr>
    </w:tbl>
    <w:p w:rsidR="00314AEA" w:rsidRDefault="00314AEA"/>
    <w:sectPr w:rsidR="00314AEA" w:rsidSect="000652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65361"/>
    <w:multiLevelType w:val="hybridMultilevel"/>
    <w:tmpl w:val="12F6E384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57DAB"/>
    <w:multiLevelType w:val="hybridMultilevel"/>
    <w:tmpl w:val="B2420092"/>
    <w:lvl w:ilvl="0" w:tplc="9C9C93CE">
      <w:start w:val="1"/>
      <w:numFmt w:val="bullet"/>
      <w:lvlText w:val="−"/>
      <w:lvlJc w:val="left"/>
      <w:pPr>
        <w:ind w:left="11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724472E2"/>
    <w:multiLevelType w:val="hybridMultilevel"/>
    <w:tmpl w:val="D4EC0C4A"/>
    <w:lvl w:ilvl="0" w:tplc="9C9C93C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A"/>
    <w:rsid w:val="0006520D"/>
    <w:rsid w:val="00276D8D"/>
    <w:rsid w:val="002D7C7B"/>
    <w:rsid w:val="00314AEA"/>
    <w:rsid w:val="00EC43E7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10B3A-2FAC-453E-840E-C966EBBC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7C7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ORE MYŚLNIKI,Kolorowa lista — akcent 11,N w prog"/>
    <w:basedOn w:val="Normalny"/>
    <w:link w:val="AkapitzlistZnak"/>
    <w:uiPriority w:val="34"/>
    <w:qFormat/>
    <w:rsid w:val="002D7C7B"/>
    <w:pPr>
      <w:ind w:left="720"/>
      <w:contextualSpacing/>
    </w:pPr>
  </w:style>
  <w:style w:type="character" w:customStyle="1" w:styleId="AkapitzlistZnak">
    <w:name w:val="Akapit z listą Znak"/>
    <w:aliases w:val="Numerowanie Znak,List Paragraph Znak,ORE MYŚLNIKI Znak,Kolorowa lista — akcent 11 Znak,N w prog Znak"/>
    <w:link w:val="Akapitzlist"/>
    <w:uiPriority w:val="34"/>
    <w:qFormat/>
    <w:locked/>
    <w:rsid w:val="002D7C7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qFormat/>
    <w:rsid w:val="002D7C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2D7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2022-02-15T09:17:00Z</dcterms:created>
  <dcterms:modified xsi:type="dcterms:W3CDTF">2022-02-15T09:24:00Z</dcterms:modified>
</cp:coreProperties>
</file>